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13" w:rsidRPr="006B41AD" w:rsidRDefault="00346552" w:rsidP="00346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4"/>
        <w:rPr>
          <w:rFonts w:asciiTheme="majorHAnsi" w:eastAsia="Century Gothic" w:hAnsiTheme="majorHAnsi" w:cstheme="majorHAnsi"/>
          <w:color w:val="5B9BD5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>E</w:t>
      </w:r>
      <w:r w:rsidR="00353299"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>nrolment</w:t>
      </w:r>
      <w:r w:rsidR="00353299" w:rsidRPr="006B41AD">
        <w:rPr>
          <w:rFonts w:asciiTheme="majorHAnsi" w:hAnsiTheme="majorHAnsi" w:cstheme="majorHAnsi"/>
          <w:noProof/>
          <w:sz w:val="24"/>
          <w:szCs w:val="24"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3299663</wp:posOffset>
            </wp:positionH>
            <wp:positionV relativeFrom="paragraph">
              <wp:posOffset>650494</wp:posOffset>
            </wp:positionV>
            <wp:extent cx="2705100" cy="2028825"/>
            <wp:effectExtent l="0" t="0" r="0" b="0"/>
            <wp:wrapSquare wrapText="left" distT="19050" distB="19050" distL="19050" distR="19050"/>
            <wp:docPr id="1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 xml:space="preserve"> </w:t>
      </w:r>
      <w:proofErr w:type="gramStart"/>
      <w:r w:rsidR="00353299"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 xml:space="preserve">and  </w:t>
      </w:r>
      <w:r w:rsidR="00353299"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>Information</w:t>
      </w:r>
      <w:proofErr w:type="gramEnd"/>
      <w:r w:rsidR="00353299"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 xml:space="preserve"> </w:t>
      </w:r>
      <w:r w:rsidR="00353299"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 xml:space="preserve">Booklet </w:t>
      </w:r>
    </w:p>
    <w:p w:rsidR="00E84913" w:rsidRPr="006B41AD" w:rsidRDefault="00E849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right="4179"/>
        <w:jc w:val="right"/>
        <w:rPr>
          <w:rFonts w:asciiTheme="majorHAnsi" w:eastAsia="Century Gothic" w:hAnsiTheme="majorHAnsi" w:cstheme="majorHAnsi"/>
          <w:color w:val="5B9BD5"/>
          <w:sz w:val="24"/>
          <w:szCs w:val="24"/>
        </w:rPr>
      </w:pPr>
    </w:p>
    <w:p w:rsidR="00346552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"/>
        <w:jc w:val="right"/>
        <w:rPr>
          <w:rFonts w:asciiTheme="majorHAnsi" w:eastAsia="Century Gothic" w:hAnsiTheme="majorHAnsi" w:cstheme="majorHAnsi"/>
          <w:color w:val="5B9BD5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>Olinda Primary School</w:t>
      </w:r>
    </w:p>
    <w:p w:rsidR="00E84913" w:rsidRPr="006B41AD" w:rsidRDefault="00E84913" w:rsidP="00346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"/>
        <w:rPr>
          <w:rFonts w:asciiTheme="majorHAnsi" w:eastAsia="Century Gothic" w:hAnsiTheme="majorHAnsi" w:cstheme="majorHAnsi"/>
          <w:color w:val="5B9BD5"/>
          <w:sz w:val="24"/>
          <w:szCs w:val="24"/>
        </w:rPr>
        <w:sectPr w:rsidR="00E84913" w:rsidRPr="006B41AD">
          <w:pgSz w:w="11900" w:h="16820"/>
          <w:pgMar w:top="746" w:right="416" w:bottom="622" w:left="208" w:header="0" w:footer="720" w:gutter="0"/>
          <w:pgNumType w:start="1"/>
          <w:cols w:space="720"/>
        </w:sectPr>
      </w:pPr>
    </w:p>
    <w:p w:rsidR="00E84913" w:rsidRPr="006B41AD" w:rsidRDefault="003465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rPr>
          <w:rFonts w:asciiTheme="majorHAnsi" w:eastAsia="Century Gothic" w:hAnsiTheme="majorHAnsi" w:cstheme="majorHAnsi"/>
          <w:color w:val="5B9BD5"/>
          <w:sz w:val="24"/>
          <w:szCs w:val="24"/>
        </w:rPr>
      </w:pPr>
      <w:r w:rsidRPr="006B41AD">
        <w:rPr>
          <w:rFonts w:asciiTheme="majorHAnsi" w:hAnsiTheme="majorHAnsi" w:cstheme="majorHAnsi"/>
          <w:noProof/>
          <w:sz w:val="24"/>
          <w:szCs w:val="24"/>
        </w:rPr>
        <w:drawing>
          <wp:anchor distT="19050" distB="19050" distL="19050" distR="19050" simplePos="0" relativeHeight="251663360" behindDoc="0" locked="0" layoutInCell="1" hidden="0" allowOverlap="1">
            <wp:simplePos x="0" y="0"/>
            <wp:positionH relativeFrom="column">
              <wp:posOffset>1651000</wp:posOffset>
            </wp:positionH>
            <wp:positionV relativeFrom="paragraph">
              <wp:posOffset>1514475</wp:posOffset>
            </wp:positionV>
            <wp:extent cx="1654175" cy="2480945"/>
            <wp:effectExtent l="0" t="0" r="0" b="0"/>
            <wp:wrapSquare wrapText="bothSides" distT="19050" distB="19050" distL="19050" distR="19050"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480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53299" w:rsidRPr="006B41AD">
        <w:rPr>
          <w:rFonts w:asciiTheme="majorHAnsi" w:eastAsia="Century Gothic" w:hAnsiTheme="majorHAnsi" w:cstheme="majorHAnsi"/>
          <w:noProof/>
          <w:color w:val="5B9BD5"/>
          <w:sz w:val="24"/>
          <w:szCs w:val="24"/>
        </w:rPr>
        <w:drawing>
          <wp:inline distT="19050" distB="19050" distL="19050" distR="19050">
            <wp:extent cx="1317498" cy="1553718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498" cy="1553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53299" w:rsidRPr="006B41AD">
        <w:rPr>
          <w:rFonts w:asciiTheme="majorHAnsi" w:eastAsia="Century Gothic" w:hAnsiTheme="majorHAnsi" w:cstheme="majorHAnsi"/>
          <w:noProof/>
          <w:color w:val="5B9BD5"/>
          <w:sz w:val="24"/>
          <w:szCs w:val="24"/>
        </w:rPr>
        <w:drawing>
          <wp:inline distT="19050" distB="19050" distL="19050" distR="19050">
            <wp:extent cx="669798" cy="787146"/>
            <wp:effectExtent l="0" t="0" r="0" b="0"/>
            <wp:docPr id="1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798" cy="787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7" w:line="240" w:lineRule="auto"/>
        <w:rPr>
          <w:rFonts w:asciiTheme="majorHAnsi" w:eastAsia="Century Gothic" w:hAnsiTheme="majorHAnsi" w:cstheme="majorHAnsi"/>
          <w:color w:val="5B9BD5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noProof/>
          <w:color w:val="5B9BD5"/>
          <w:sz w:val="24"/>
          <w:szCs w:val="24"/>
        </w:rPr>
        <w:drawing>
          <wp:inline distT="19050" distB="19050" distL="19050" distR="19050">
            <wp:extent cx="483857" cy="570738"/>
            <wp:effectExtent l="0" t="0" r="0" b="0"/>
            <wp:docPr id="1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57" cy="570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B41AD">
        <w:rPr>
          <w:rFonts w:asciiTheme="majorHAnsi" w:eastAsia="Century Gothic" w:hAnsiTheme="majorHAnsi" w:cstheme="majorHAnsi"/>
          <w:noProof/>
          <w:color w:val="5B9BD5"/>
          <w:sz w:val="24"/>
          <w:szCs w:val="24"/>
        </w:rPr>
        <w:drawing>
          <wp:inline distT="19050" distB="19050" distL="19050" distR="19050">
            <wp:extent cx="483857" cy="570738"/>
            <wp:effectExtent l="0" t="0" r="0" b="0"/>
            <wp:docPr id="1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57" cy="570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2" w:line="240" w:lineRule="auto"/>
        <w:rPr>
          <w:rFonts w:asciiTheme="majorHAnsi" w:eastAsia="Century Gothic" w:hAnsiTheme="majorHAnsi" w:cstheme="majorHAnsi"/>
          <w:color w:val="5B9BD5"/>
          <w:sz w:val="24"/>
          <w:szCs w:val="24"/>
        </w:rPr>
        <w:sectPr w:rsidR="00E84913" w:rsidRPr="006B41AD">
          <w:type w:val="continuous"/>
          <w:pgSz w:w="11900" w:h="16820"/>
          <w:pgMar w:top="746" w:right="1206" w:bottom="622" w:left="1063" w:header="0" w:footer="720" w:gutter="0"/>
          <w:cols w:num="2" w:space="720" w:equalWidth="0">
            <w:col w:w="4820" w:space="0"/>
            <w:col w:w="4820" w:space="0"/>
          </w:cols>
        </w:sectPr>
      </w:pPr>
      <w:r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>20</w:t>
      </w:r>
      <w:r w:rsidR="00346552" w:rsidRPr="006B41AD">
        <w:rPr>
          <w:rFonts w:asciiTheme="majorHAnsi" w:eastAsia="Century Gothic" w:hAnsiTheme="majorHAnsi" w:cstheme="majorHAnsi"/>
          <w:color w:val="5B9BD5"/>
          <w:sz w:val="24"/>
          <w:szCs w:val="24"/>
        </w:rPr>
        <w:t>22</w:t>
      </w:r>
    </w:p>
    <w:p w:rsidR="00346552" w:rsidRPr="006B41AD" w:rsidRDefault="00346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3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346552" w:rsidRPr="006B41AD" w:rsidRDefault="00346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3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3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Olinda Primary Schools Staff: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530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Teaching Principal – Cornelia </w:t>
      </w:r>
      <w:r w:rsidR="00346552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Sheeran (Classroom teacher, Sport, Science)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530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Teacher: </w:t>
      </w:r>
      <w:r w:rsidR="00346552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Julianne Myers (Art, Science, Classroom teacher)</w:t>
      </w:r>
    </w:p>
    <w:p w:rsidR="00346552" w:rsidRPr="006B41AD" w:rsidRDefault="003465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530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Teacher: Rachel Bridle (Music)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543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Education Support – Jay Mc Kelvey </w:t>
      </w:r>
    </w:p>
    <w:p w:rsidR="00346552" w:rsidRPr="006B41AD" w:rsidRDefault="003465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543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Education Support – Steve Mileham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530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Term dates: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45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>20</w:t>
      </w:r>
      <w:r w:rsidR="00346552"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>21</w:t>
      </w: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 </w:t>
      </w:r>
      <w:r w:rsidRPr="006B41AD">
        <w:rPr>
          <w:rFonts w:asciiTheme="majorHAnsi" w:hAnsiTheme="majorHAnsi" w:cstheme="majorHAnsi"/>
          <w:noProof/>
          <w:sz w:val="24"/>
          <w:szCs w:val="24"/>
        </w:rPr>
        <w:drawing>
          <wp:anchor distT="19050" distB="19050" distL="19050" distR="19050" simplePos="0" relativeHeight="251664384" behindDoc="0" locked="0" layoutInCell="1" hidden="0" allowOverlap="1">
            <wp:simplePos x="0" y="0"/>
            <wp:positionH relativeFrom="column">
              <wp:posOffset>3348043</wp:posOffset>
            </wp:positionH>
            <wp:positionV relativeFrom="paragraph">
              <wp:posOffset>43052</wp:posOffset>
            </wp:positionV>
            <wp:extent cx="3152140" cy="2101215"/>
            <wp:effectExtent l="0" t="0" r="0" b="0"/>
            <wp:wrapSquare wrapText="left" distT="19050" distB="19050" distL="19050" distR="19050"/>
            <wp:docPr id="2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10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Term 4: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4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October to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17 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December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545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>20</w:t>
      </w:r>
      <w:r w:rsidR="00346552"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>22</w:t>
      </w: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Term 1: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31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January to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8 April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Term 2: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2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6 April to 2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4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June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Term 3: 1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1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July to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16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September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Term 4: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3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October to 2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0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December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545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>20</w:t>
      </w:r>
      <w:r w:rsidR="00346552"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>23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lastRenderedPageBreak/>
        <w:t xml:space="preserve">Term 1: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30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January to 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6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April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Term 2: 2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4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April to 2</w:t>
      </w:r>
      <w:r w:rsidR="00346552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3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June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Term 3: 1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0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July to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15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September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530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Term 4: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2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October to 20 December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553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Kindergarten to School Transition Program: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99" w:lineRule="auto"/>
        <w:ind w:left="531" w:right="267" w:firstLine="12"/>
        <w:rPr>
          <w:rFonts w:asciiTheme="majorHAnsi" w:eastAsia="Century Gothic" w:hAnsiTheme="majorHAnsi" w:cstheme="majorHAnsi"/>
          <w:color w:val="444444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Prep transition program will be operating during terms 3 and 4. The children can attend either Wednesday or Friday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or come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 xml:space="preserve"> along to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>both sessions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 xml:space="preserve"> 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 xml:space="preserve">from 9:00am to 3:30pm. This will be extended to other days as children are ready to be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 xml:space="preserve">at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school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longer. The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children will be part of the prep to 2 class and will work at their level within the class. The benefits for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5-year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 xml:space="preserve">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>old children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 xml:space="preserve"> attending these sessions will be that get a head start in their learning while getting use to school routines.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  <w:highlight w:val="white"/>
        </w:rPr>
        <w:t xml:space="preserve">To </w:t>
      </w:r>
      <w:r w:rsidR="00174EE8"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>be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 part of the tra</w:t>
      </w:r>
      <w:r w:rsidRPr="006B41AD">
        <w:rPr>
          <w:rFonts w:asciiTheme="majorHAnsi" w:eastAsia="Century Gothic" w:hAnsiTheme="majorHAnsi" w:cstheme="majorHAnsi"/>
          <w:color w:val="444444"/>
          <w:sz w:val="24"/>
          <w:szCs w:val="24"/>
        </w:rPr>
        <w:t xml:space="preserve">nsition program an enrolment form must be filled in prior to attending sessions. 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543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Our School: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33" w:lineRule="auto"/>
        <w:ind w:left="532" w:right="272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At Olinda Primary School we are a caring, happy school where students love to learn. Our community works together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so students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become confident, capable and res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ilient citizens. Having your child attend Olinda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places,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them in a rich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social environment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where they can achieve their personal best. Our social development program ‘Play Is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The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Way’ teaches the children to be self-regulating and masters of their own beha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viour which they apply in their everyday lives both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at school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and at home.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333" w:lineRule="auto"/>
        <w:ind w:left="535" w:right="306" w:firstLine="2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Our school philosophy underpins the core values in our everyday dealings with each other, and in the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development of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all programs and policies. The values are intertwined with ‘Play Is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The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Way’, reflected in all conversations,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playground activities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and le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arning. This way our values really make a difference in our learning environment and are the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filter through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which all behaviours are considered.</w:t>
      </w:r>
    </w:p>
    <w:tbl>
      <w:tblPr>
        <w:tblStyle w:val="a"/>
        <w:tblW w:w="10417" w:type="dxa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0"/>
        <w:gridCol w:w="2854"/>
        <w:gridCol w:w="2966"/>
        <w:gridCol w:w="2967"/>
      </w:tblGrid>
      <w:tr w:rsidR="00E84913" w:rsidRPr="006B41AD" w:rsidTr="00174EE8">
        <w:trPr>
          <w:trHeight w:val="1075"/>
        </w:trPr>
        <w:tc>
          <w:tcPr>
            <w:tcW w:w="16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 xml:space="preserve">Value </w:t>
            </w:r>
          </w:p>
        </w:tc>
        <w:tc>
          <w:tcPr>
            <w:tcW w:w="285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EE8" w:rsidRPr="006B41AD" w:rsidRDefault="00353299" w:rsidP="0017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 xml:space="preserve">Definition </w:t>
            </w:r>
            <w:r w:rsidR="00174EE8"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  <w:shd w:val="clear" w:color="auto" w:fill="EEEEEE"/>
              </w:rPr>
              <w:t>Adults</w:t>
            </w:r>
            <w:r w:rsidR="00174EE8"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 xml:space="preserve"> </w:t>
            </w:r>
          </w:p>
          <w:p w:rsidR="00E84913" w:rsidRPr="006B41AD" w:rsidRDefault="00E84913" w:rsidP="0017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17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>Student</w:t>
            </w: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>s will demonstrate this value by:</w:t>
            </w:r>
          </w:p>
        </w:tc>
        <w:tc>
          <w:tcPr>
            <w:tcW w:w="29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17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 xml:space="preserve">Adults will </w:t>
            </w: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>demonstrate this value by:</w:t>
            </w:r>
          </w:p>
        </w:tc>
      </w:tr>
      <w:tr w:rsidR="00E84913" w:rsidRPr="006B41AD" w:rsidTr="00174EE8">
        <w:trPr>
          <w:trHeight w:val="2114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>Creativity</w:t>
            </w:r>
          </w:p>
        </w:tc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 w:right="159"/>
              <w:rPr>
                <w:rFonts w:asciiTheme="majorHAnsi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Creativity is the ability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to be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expressive,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energetic, humorous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,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imaginative, unconventional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and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more likely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to see things from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a different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angle</w:t>
            </w:r>
            <w:r w:rsidRPr="006B41AD">
              <w:rPr>
                <w:rFonts w:asciiTheme="majorHAnsi" w:hAnsiTheme="majorHAnsi" w:cstheme="majorHAnsi"/>
                <w:color w:val="666666"/>
                <w:sz w:val="24"/>
                <w:szCs w:val="24"/>
              </w:rPr>
              <w:t>.</w:t>
            </w:r>
          </w:p>
        </w:tc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82" w:right="143" w:firstLine="1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Seeking to understand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the world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as broadly and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83" w:lineRule="auto"/>
              <w:ind w:left="95" w:right="106" w:hanging="2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deeply as possible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through using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a creative and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90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inquiring mind.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Providing a safe and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83" w:lineRule="auto"/>
              <w:ind w:left="90" w:right="397" w:hanging="3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stimulating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environment that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supports the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92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development of creativity.</w:t>
            </w:r>
          </w:p>
        </w:tc>
      </w:tr>
      <w:tr w:rsidR="00E84913" w:rsidRPr="006B41AD" w:rsidTr="00174EE8">
        <w:trPr>
          <w:trHeight w:val="241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lastRenderedPageBreak/>
              <w:t>Responsibility</w:t>
            </w:r>
          </w:p>
        </w:tc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92" w:right="59" w:firstLine="8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Responsibility means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taking ownership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of our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actions and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making wise choices.</w:t>
            </w:r>
          </w:p>
        </w:tc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92" w:right="323" w:hanging="7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Taking ownership of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their actions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.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83" w:lineRule="auto"/>
              <w:ind w:left="99" w:right="278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Following the Yellow Rule. Following the Blue Rule.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92" w:right="353" w:firstLine="7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Providing a safe,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friendly and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challenging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92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environment.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83" w:lineRule="auto"/>
              <w:ind w:left="89" w:right="108" w:hanging="5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Supporting the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school’s endeavours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to provide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the best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education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outcomes for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each child.</w:t>
            </w:r>
          </w:p>
        </w:tc>
      </w:tr>
      <w:tr w:rsidR="00E84913" w:rsidRPr="006B41AD" w:rsidTr="00174EE8">
        <w:trPr>
          <w:trHeight w:val="2414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>Respect</w:t>
            </w:r>
          </w:p>
        </w:tc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 w:right="597" w:firstLine="8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Respect means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being accepting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and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83" w:lineRule="auto"/>
              <w:ind w:left="92" w:right="463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considerate of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yourself, others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’ feelings and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83" w:lineRule="auto"/>
              <w:ind w:left="89" w:right="131" w:firstLine="2"/>
              <w:jc w:val="both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differences. It means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using good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manners and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caring for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the environment.</w:t>
            </w:r>
          </w:p>
        </w:tc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5" w:right="66" w:hanging="9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Accepting differences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and using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good manners.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Following the Golden Rule.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Modelling respectful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84" w:lineRule="auto"/>
              <w:ind w:left="84" w:right="58" w:firstLine="13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behaviours at all times. Treating all members of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the school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community in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a polite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and respectful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97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manner.</w:t>
            </w:r>
          </w:p>
        </w:tc>
      </w:tr>
      <w:tr w:rsidR="00E84913" w:rsidRPr="006B41AD" w:rsidTr="00174EE8">
        <w:trPr>
          <w:trHeight w:val="1816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>Resilience</w:t>
            </w:r>
          </w:p>
        </w:tc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87" w:right="226" w:firstLine="13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Resilience means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staying positive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even after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facing setbacks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and challenges.</w:t>
            </w:r>
          </w:p>
        </w:tc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Bouncing back!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left="99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Following the Green Rule.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7" w:right="156" w:hanging="10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Allowing students to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make mistakes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and be  </w:t>
            </w:r>
          </w:p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83" w:lineRule="auto"/>
              <w:ind w:left="86" w:right="67" w:firstLine="5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responsible for their actions. Accepting that things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will sometimes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go wrong.</w:t>
            </w:r>
          </w:p>
        </w:tc>
      </w:tr>
      <w:tr w:rsidR="00E84913" w:rsidRPr="006B41AD" w:rsidTr="00174EE8">
        <w:trPr>
          <w:trHeight w:val="121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b/>
                <w:color w:val="666666"/>
                <w:sz w:val="24"/>
                <w:szCs w:val="24"/>
              </w:rPr>
              <w:t>Persistence</w:t>
            </w:r>
          </w:p>
        </w:tc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1" w:right="98" w:firstLine="8"/>
              <w:jc w:val="both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Persistence means to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keep going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despite the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difficulty of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the task.</w:t>
            </w:r>
          </w:p>
        </w:tc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9" w:right="539" w:hanging="6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Completing their work. Following the Red Rule.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13" w:rsidRPr="006B41AD" w:rsidRDefault="0035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 w:right="358" w:firstLine="7"/>
              <w:jc w:val="both"/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</w:pP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Encouraging students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to complete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what they </w:t>
            </w:r>
            <w:r w:rsidR="00174EE8"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>set out</w:t>
            </w:r>
            <w:r w:rsidRPr="006B41AD">
              <w:rPr>
                <w:rFonts w:asciiTheme="majorHAnsi" w:eastAsia="Century Gothic" w:hAnsiTheme="majorHAnsi" w:cstheme="majorHAnsi"/>
                <w:color w:val="666666"/>
                <w:sz w:val="24"/>
                <w:szCs w:val="24"/>
              </w:rPr>
              <w:t xml:space="preserve"> to do.</w:t>
            </w:r>
          </w:p>
        </w:tc>
      </w:tr>
    </w:tbl>
    <w:p w:rsidR="00E84913" w:rsidRPr="006B41AD" w:rsidRDefault="00E849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E84913" w:rsidRPr="006B41AD" w:rsidRDefault="00E849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5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Curriculum: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33" w:lineRule="auto"/>
        <w:ind w:left="537" w:right="860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Olinda Primary School provides a challenging educational program for all children. Students work and play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cooperatively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with others, taking individual and collective pride in the school and their work. We embrace a spirit </w:t>
      </w:r>
      <w:r w:rsidR="00174EE8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of mutual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respect and support th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roughout the school.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543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Our Core Subjects: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33" w:lineRule="auto"/>
        <w:ind w:left="532" w:right="30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At Olinda Primary, we have some non-negotiables that are our core subjects. These are Literacy, Numeracy and </w:t>
      </w:r>
      <w:r w:rsidR="00587494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Science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. Within a week’s program, all children receive 10 hours of Literacy, 5 hours of Numeracy and 2 hours </w:t>
      </w:r>
      <w:r w:rsidR="00587494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of Science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Learning.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In reading, writing and maths we teach the children strategies that they can apply to </w:t>
      </w:r>
      <w:r w:rsidR="00587494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different scenarios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. </w:t>
      </w:r>
    </w:p>
    <w:p w:rsidR="00587494" w:rsidRPr="006B41AD" w:rsidRDefault="00587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532" w:right="339" w:firstLine="3"/>
        <w:rPr>
          <w:rFonts w:asciiTheme="majorHAnsi" w:eastAsia="Century Gothic" w:hAnsiTheme="majorHAnsi" w:cstheme="majorHAnsi"/>
          <w:color w:val="000000"/>
          <w:sz w:val="24"/>
          <w:szCs w:val="24"/>
        </w:rPr>
      </w:pPr>
    </w:p>
    <w:p w:rsidR="00E84913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532" w:right="339" w:firstLine="3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lastRenderedPageBreak/>
        <w:t xml:space="preserve">When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teaching writing we follow the Steven Steps to Writing Success. This is a writing program that inspires </w:t>
      </w:r>
      <w:r w:rsidRPr="006B41A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students to rapidly improve their writing skills, and most importantly, learn to love writing! Our aim is to create a writing classroom where students learn to love writing and become </w:t>
      </w:r>
      <w:r w:rsidRPr="006B41AD">
        <w:rPr>
          <w:rFonts w:asciiTheme="majorHAnsi" w:hAnsiTheme="majorHAnsi" w:cstheme="majorHAnsi"/>
          <w:bCs/>
          <w:color w:val="000000"/>
          <w:sz w:val="24"/>
          <w:szCs w:val="24"/>
        </w:rPr>
        <w:t>lifelong</w:t>
      </w:r>
      <w:r w:rsidRPr="006B41A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communicators.</w:t>
      </w:r>
      <w:r w:rsidRPr="006B41A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587494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I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ncorporate</w:t>
      </w:r>
      <w:r w:rsidR="00587494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d in this is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explicit grammar teaching and the ‘Write to Read’ program. The Write to Read program is a strong phonetics program where the children learn the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70 codes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of the English Langu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age, which they then apply to reading and writing. This program explicitly teaches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children sound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codes, rules to the English Language and handwriting. We use the CAFÉ Reading framework when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teaching reading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because it defines the strategies that good re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aders use. All the above programs work together to enable children to obtain a deeper understanding of the English Language. 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333" w:lineRule="auto"/>
        <w:ind w:left="528" w:right="324" w:firstLine="3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At Olinda, we believe in teaching numeracy for the real world. We teach strategies that students can then apply to </w:t>
      </w:r>
      <w:r w:rsidR="002E6EC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a variety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of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mathematical situations that they might come across throughout their life. We feel numeracy doesn't have </w:t>
      </w:r>
      <w:r w:rsidR="002E6EC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to be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dull. Statistics can involve calculating the percentage of red M&amp;M’s in a packet. </w:t>
      </w:r>
      <w:r w:rsidRPr="006B41AD">
        <w:rPr>
          <w:rFonts w:asciiTheme="majorHAnsi" w:eastAsia="Century Gothic" w:hAnsiTheme="majorHAnsi" w:cstheme="majorHAnsi"/>
          <w:i/>
          <w:color w:val="000000"/>
          <w:sz w:val="24"/>
          <w:szCs w:val="24"/>
        </w:rPr>
        <w:t xml:space="preserve">However,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we still believe </w:t>
      </w:r>
      <w:r w:rsidR="002E6EC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in teaching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the fundamentals. Times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-tables might be considered nothing more than rote learning by some. None-the-</w:t>
      </w:r>
      <w:r w:rsidR="002E6EC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less, we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still consider times-tables an important foundation for mathematics and we teach strategies that the children </w:t>
      </w:r>
      <w:r w:rsidR="002E6EC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can use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in all situations.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33" w:lineRule="auto"/>
        <w:ind w:left="536" w:right="55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We place a great emphasis on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assessment within reading, writing and numeracy to closely monitor student </w:t>
      </w:r>
      <w:r w:rsidR="002E6EC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progress, give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feedback and set objectives. We believe what gets measured, gets managed. </w:t>
      </w: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33" w:lineRule="auto"/>
        <w:ind w:left="536" w:right="55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Our instructional model is the gradual release model of teaching:</w:t>
      </w:r>
    </w:p>
    <w:p w:rsidR="002E6EC7" w:rsidRPr="006B41AD" w:rsidRDefault="002E6EC7" w:rsidP="002E6EC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line="333" w:lineRule="auto"/>
        <w:ind w:right="55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239395</wp:posOffset>
            </wp:positionV>
            <wp:extent cx="2432685" cy="3276600"/>
            <wp:effectExtent l="0" t="0" r="5715" b="0"/>
            <wp:wrapTight wrapText="bothSides">
              <wp:wrapPolygon edited="0">
                <wp:start x="0" y="0"/>
                <wp:lineTo x="0" y="21474"/>
                <wp:lineTo x="21482" y="21474"/>
                <wp:lineTo x="21482" y="0"/>
                <wp:lineTo x="0" y="0"/>
              </wp:wrapPolygon>
            </wp:wrapTight>
            <wp:docPr id="16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I Do – the teacher explains and demonstrates the learning</w:t>
      </w:r>
    </w:p>
    <w:p w:rsidR="002E6EC7" w:rsidRPr="006B41AD" w:rsidRDefault="002E6EC7" w:rsidP="002E6EC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line="333" w:lineRule="auto"/>
        <w:ind w:right="55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We Do – The teacher and the student do the task together.</w:t>
      </w:r>
    </w:p>
    <w:p w:rsidR="002E6EC7" w:rsidRPr="006B41AD" w:rsidRDefault="002E6EC7" w:rsidP="002E6EC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line="333" w:lineRule="auto"/>
        <w:ind w:right="55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You Do – Students practice what they have learnt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left="583"/>
        <w:rPr>
          <w:rFonts w:asciiTheme="majorHAnsi" w:eastAsia="Century Gothic" w:hAnsiTheme="majorHAnsi" w:cstheme="majorHAnsi"/>
          <w:i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i/>
          <w:color w:val="000000"/>
          <w:sz w:val="24"/>
          <w:szCs w:val="24"/>
        </w:rPr>
        <w:t xml:space="preserve">Tell me and I’ll forget; show me and I may remember; involve me and I’ll understand.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53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Chi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nese proverb</w:t>
      </w:r>
    </w:p>
    <w:p w:rsidR="00E84913" w:rsidRPr="006B41AD" w:rsidRDefault="00E849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right="3560"/>
        <w:jc w:val="right"/>
        <w:rPr>
          <w:rFonts w:asciiTheme="majorHAnsi" w:eastAsia="Century Gothic" w:hAnsiTheme="majorHAnsi" w:cstheme="majorHAnsi"/>
          <w:color w:val="000000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2E6EC7" w:rsidRPr="006B41AD" w:rsidRDefault="002E6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Specialists' Programs 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33" w:lineRule="auto"/>
        <w:ind w:left="543" w:right="845" w:hanging="12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The children will all participate in Specialist Programs, which include The Arts both (Performing and Visual),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Library,  Physical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Education, LOTE and Kitchen Classroom. 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240" w:lineRule="auto"/>
        <w:ind w:left="543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 xml:space="preserve">Performing Arts 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33" w:lineRule="auto"/>
        <w:ind w:left="532" w:right="42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At Olinda Primary School, the program in Performing Arts includes experience in Music</w:t>
      </w:r>
      <w:r w:rsidR="0044002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, and Drama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at all levels</w:t>
      </w:r>
      <w:r w:rsidR="0044002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.</w:t>
      </w:r>
    </w:p>
    <w:p w:rsidR="00440027" w:rsidRPr="006B41AD" w:rsidRDefault="004400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33" w:lineRule="auto"/>
        <w:ind w:left="532" w:right="427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Throughout the year as part of the regular specialist program students receive one hour a week of music lessons. As part of their classroom program they will have drama both incorporated into literacy time as well as a standalone program.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0" w:lineRule="auto"/>
        <w:ind w:left="533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 xml:space="preserve">Visual Arts 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33" w:lineRule="auto"/>
        <w:ind w:left="532" w:right="293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At Olinda Primary School, we create and present art by exploring painting, drawing, construction and modelling. Art </w:t>
      </w:r>
      <w:r w:rsidR="0044002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is a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valuable part of the learning process, which contributes to the development of the individual's creativity, </w:t>
      </w:r>
      <w:r w:rsidR="0044002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recreational skills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and t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he ability to express and communicate their ideas. All students attend an Art session each week.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left="543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 xml:space="preserve">Physical Education  </w:t>
      </w:r>
    </w:p>
    <w:p w:rsidR="00440027" w:rsidRPr="006B41AD" w:rsidRDefault="00353299" w:rsidP="004400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532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All children participate in the Physical Education program. </w:t>
      </w:r>
    </w:p>
    <w:p w:rsidR="00E84913" w:rsidRPr="006B41AD" w:rsidRDefault="00353299" w:rsidP="004400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532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Children are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strongly encouraged to wear runners on the days of the lesson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, as this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will help the children to participate to their fullest potential. We also </w:t>
      </w:r>
      <w:r w:rsidR="0044002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join other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local schools on athletics days, district school sports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and 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interschool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sports days.  </w:t>
      </w:r>
    </w:p>
    <w:p w:rsidR="00440027" w:rsidRPr="006B41AD" w:rsidRDefault="004400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536"/>
        <w:rPr>
          <w:rFonts w:asciiTheme="majorHAnsi" w:eastAsia="Century Gothic" w:hAnsiTheme="majorHAnsi" w:cstheme="majorHAnsi"/>
          <w:color w:val="000000"/>
          <w:sz w:val="24"/>
          <w:szCs w:val="24"/>
        </w:rPr>
      </w:pPr>
    </w:p>
    <w:p w:rsidR="00440027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536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We </w:t>
      </w:r>
      <w:r w:rsidR="00440027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source different coaches to help develop a wide range of skills in the children. </w:t>
      </w:r>
    </w:p>
    <w:p w:rsidR="006B41AD" w:rsidRPr="006B41AD" w:rsidRDefault="00353299" w:rsidP="006B41A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tennis coach </w:t>
      </w:r>
    </w:p>
    <w:p w:rsidR="00E84913" w:rsidRPr="006B41AD" w:rsidRDefault="006B41AD" w:rsidP="0044183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541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s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wimming is held during term one where the students swim 3 days a 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week for 6 weeks at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local p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ool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where p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rofessional swimming instructors </w:t>
      </w:r>
      <w:r w:rsidR="00353299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provide all lessons.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" w:line="240" w:lineRule="auto"/>
        <w:ind w:left="543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 xml:space="preserve">Library Studies 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33" w:lineRule="auto"/>
        <w:ind w:left="539" w:right="406" w:hanging="9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The children attend a MARC Library session each week. A developmental program is offered by trained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children’s librarians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. Regular borrowing is encouraged as a basis for developing reading skills and as an enjoyable leisure activity. 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left="543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 xml:space="preserve">LOTE  </w:t>
      </w:r>
    </w:p>
    <w:p w:rsidR="00E84913" w:rsidRPr="006B41AD" w:rsidRDefault="00353299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33" w:lineRule="auto"/>
        <w:ind w:left="532" w:right="308" w:firstLine="10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French language is taught at Olinda Primary School. The LOTE curriculum is offered as an integrated part of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the curriculum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to all students. It is aimed at engaging students in thinking and reflecting on their own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lastRenderedPageBreak/>
        <w:t xml:space="preserve">culture,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wider civilisations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that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surround them and the languages and customs of other countries. All students attend the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language sessions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once a week. Their listening, understanding and speaking skills are developed through singing, games,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rhymes, role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-play and other language activitie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s. Besides learning the language, they will build up an awareness and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knowledge of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French customs and cultures throughout the program.  </w:t>
      </w:r>
    </w:p>
    <w:p w:rsidR="006B41AD" w:rsidRPr="006B41AD" w:rsidRDefault="006B41AD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0" w:lineRule="auto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          </w:t>
      </w:r>
      <w:r w:rsidR="00353299" w:rsidRPr="006B41AD"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 xml:space="preserve">Kitchen Classroom </w:t>
      </w:r>
    </w:p>
    <w:p w:rsidR="00E84913" w:rsidRPr="006B41AD" w:rsidRDefault="00353299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0" w:lineRule="auto"/>
        <w:ind w:left="567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sectPr w:rsidR="00E84913" w:rsidRPr="006B41AD">
          <w:type w:val="continuous"/>
          <w:pgSz w:w="11900" w:h="16820"/>
          <w:pgMar w:top="746" w:right="416" w:bottom="622" w:left="208" w:header="0" w:footer="720" w:gutter="0"/>
          <w:cols w:space="720" w:equalWidth="0">
            <w:col w:w="11274" w:space="0"/>
          </w:cols>
        </w:sect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The children spend a minimum of one day a week for two terms cooking. They are not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only learning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basic cooking skills but also learning mathematics. It is a perfect environment to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learn fractions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as well as doubling and halving recipes. The children also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have a chance to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create from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scratch or modify a recipe.</w:t>
      </w:r>
    </w:p>
    <w:p w:rsidR="006B41AD" w:rsidRPr="006B41AD" w:rsidRDefault="006B41AD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hanging="709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6B41AD" w:rsidRPr="006B41AD" w:rsidRDefault="006B41AD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hanging="709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6B41AD" w:rsidRPr="006B41AD" w:rsidRDefault="006B41AD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hanging="709"/>
        <w:rPr>
          <w:rFonts w:asciiTheme="majorHAnsi" w:eastAsia="Calibri" w:hAnsiTheme="majorHAnsi" w:cstheme="majorHAnsi"/>
          <w:color w:val="2E74B5"/>
          <w:sz w:val="24"/>
          <w:szCs w:val="24"/>
        </w:rPr>
      </w:pPr>
    </w:p>
    <w:p w:rsidR="00E84913" w:rsidRPr="006B41AD" w:rsidRDefault="00353299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5" w:line="199" w:lineRule="auto"/>
        <w:ind w:hanging="709"/>
        <w:rPr>
          <w:rFonts w:asciiTheme="majorHAnsi" w:eastAsia="Calibri" w:hAnsiTheme="majorHAnsi" w:cstheme="majorHAnsi"/>
          <w:color w:val="2E74B5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School Camps </w:t>
      </w:r>
    </w:p>
    <w:p w:rsidR="006B41AD" w:rsidRPr="006B41AD" w:rsidRDefault="00353299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199" w:lineRule="auto"/>
        <w:ind w:left="-709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Olinda Primary School attend 2 camps either in grades 4,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5 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or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6 dependent on the camp cycle. We join u</w:t>
      </w:r>
      <w:bookmarkStart w:id="0" w:name="_GoBack"/>
      <w:bookmarkEnd w:id="0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p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with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other schools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at the department of education camps. W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e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always 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have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an Olinda Staff member with the children assisting 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them. This is also a valuable time because the children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at 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Olinda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Primary mix with other children from the Dandenong 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Ranges Network. </w:t>
      </w:r>
    </w:p>
    <w:p w:rsidR="00E84913" w:rsidRPr="006B41AD" w:rsidRDefault="00353299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199" w:lineRule="auto"/>
        <w:ind w:left="-709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alibri" w:hAnsiTheme="majorHAnsi" w:cstheme="majorHAnsi"/>
          <w:color w:val="2E74B5"/>
          <w:sz w:val="24"/>
          <w:szCs w:val="24"/>
        </w:rPr>
        <w:t xml:space="preserve">Incursions and Excursions </w:t>
      </w:r>
    </w:p>
    <w:p w:rsidR="00E84913" w:rsidRPr="006B41AD" w:rsidRDefault="00353299" w:rsidP="006B4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33" w:lineRule="auto"/>
        <w:ind w:hanging="709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We usually have 2</w:t>
      </w:r>
      <w:r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- 4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incursions or excursions during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the year that is related </w:t>
      </w:r>
      <w:r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classroom program </w:t>
      </w:r>
      <w:r w:rsidR="006B41AD"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or our 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specialist’s programs. During terms 2 and 4 we have 2 sessions with the CFA. During term 2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the  children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learn about fire safety around their house and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yard. In term 4 the children learn about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fire  safety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relating to bush fires. In this session they talk about fire plans, safety equipment and clothes. We have close connections to our local community in particular the Rhododendron Gardens, </w:t>
      </w:r>
      <w:proofErr w:type="gramStart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>the  local</w:t>
      </w:r>
      <w:proofErr w:type="gramEnd"/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CFA</w:t>
      </w:r>
      <w:r w:rsidRPr="006B41AD">
        <w:rPr>
          <w:rFonts w:asciiTheme="majorHAnsi" w:eastAsia="Century Gothic" w:hAnsiTheme="majorHAnsi" w:cstheme="majorHAnsi"/>
          <w:color w:val="000000"/>
          <w:sz w:val="24"/>
          <w:szCs w:val="24"/>
        </w:rPr>
        <w:t xml:space="preserve"> and Police as well as local businesses. </w:t>
      </w:r>
    </w:p>
    <w:p w:rsidR="00E84913" w:rsidRPr="006B41AD" w:rsidRDefault="00353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199" w:lineRule="auto"/>
        <w:rPr>
          <w:rFonts w:asciiTheme="majorHAnsi" w:eastAsia="Century Gothic" w:hAnsiTheme="majorHAnsi" w:cstheme="majorHAnsi"/>
          <w:color w:val="000000"/>
          <w:sz w:val="24"/>
          <w:szCs w:val="24"/>
        </w:rPr>
      </w:pPr>
      <w:r w:rsidRPr="006B41AD">
        <w:rPr>
          <w:rFonts w:asciiTheme="majorHAnsi" w:eastAsia="Century Gothic" w:hAnsiTheme="majorHAnsi" w:cstheme="majorHAnsi"/>
          <w:noProof/>
          <w:color w:val="000000"/>
          <w:sz w:val="24"/>
          <w:szCs w:val="24"/>
        </w:rPr>
        <w:drawing>
          <wp:inline distT="19050" distB="19050" distL="19050" distR="19050">
            <wp:extent cx="2796540" cy="20974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09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B41AD">
        <w:rPr>
          <w:rFonts w:asciiTheme="majorHAnsi" w:eastAsia="Century Gothic" w:hAnsiTheme="majorHAnsi" w:cstheme="majorHAnsi"/>
          <w:noProof/>
          <w:color w:val="000000"/>
          <w:sz w:val="24"/>
          <w:szCs w:val="24"/>
        </w:rPr>
        <w:drawing>
          <wp:inline distT="19050" distB="19050" distL="19050" distR="19050">
            <wp:extent cx="2674620" cy="20059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005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84913" w:rsidRPr="006B41AD">
      <w:type w:val="continuous"/>
      <w:pgSz w:w="11900" w:h="16820"/>
      <w:pgMar w:top="746" w:right="1440" w:bottom="622" w:left="1440" w:header="0" w:footer="720" w:gutter="0"/>
      <w:cols w:space="720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399E"/>
    <w:multiLevelType w:val="hybridMultilevel"/>
    <w:tmpl w:val="47EC7796"/>
    <w:lvl w:ilvl="0" w:tplc="11B6C67E">
      <w:start w:val="2019"/>
      <w:numFmt w:val="bullet"/>
      <w:lvlText w:val="-"/>
      <w:lvlJc w:val="left"/>
      <w:pPr>
        <w:ind w:left="896" w:hanging="360"/>
      </w:pPr>
      <w:rPr>
        <w:rFonts w:ascii="Century Gothic" w:eastAsia="Century Gothic" w:hAnsi="Century Gothic" w:cs="Century Gothic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BFC4A02"/>
    <w:multiLevelType w:val="hybridMultilevel"/>
    <w:tmpl w:val="D53845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13"/>
    <w:rsid w:val="00174EE8"/>
    <w:rsid w:val="002E6EC7"/>
    <w:rsid w:val="00346552"/>
    <w:rsid w:val="00353299"/>
    <w:rsid w:val="00440027"/>
    <w:rsid w:val="00587494"/>
    <w:rsid w:val="006B41AD"/>
    <w:rsid w:val="00E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79BF"/>
  <w15:docId w15:val="{6047FB00-70C2-48C9-8765-60FC5D4D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Cornelia Sheeran</cp:lastModifiedBy>
  <cp:revision>2</cp:revision>
  <dcterms:created xsi:type="dcterms:W3CDTF">2021-11-21T05:17:00Z</dcterms:created>
  <dcterms:modified xsi:type="dcterms:W3CDTF">2021-11-21T06:18:00Z</dcterms:modified>
</cp:coreProperties>
</file>